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eastAsia="华文中宋" w:cs="宋体"/>
          <w:b/>
          <w:bCs/>
          <w:kern w:val="0"/>
          <w:sz w:val="36"/>
          <w:szCs w:val="36"/>
          <w:lang w:val="en-US" w:eastAsia="zh-CN"/>
        </w:rPr>
        <w:t>附件1：</w:t>
      </w:r>
      <w:bookmarkStart w:id="6" w:name="_GoBack"/>
      <w:bookmarkEnd w:id="6"/>
      <w:r>
        <w:rPr>
          <w:rFonts w:hint="eastAsia" w:ascii="华文中宋" w:eastAsia="华文中宋" w:cs="宋体"/>
          <w:b/>
          <w:bCs/>
          <w:kern w:val="0"/>
          <w:sz w:val="36"/>
          <w:szCs w:val="36"/>
        </w:rPr>
        <w:t>课题指南</w:t>
      </w:r>
    </w:p>
    <w:p>
      <w:pPr>
        <w:pStyle w:val="2"/>
        <w:spacing w:before="0" w:after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党建思政</w:t>
      </w:r>
    </w:p>
    <w:p/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新形势下加强高校网络意识形态阵地管理的路径研究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自媒体视阈下高校思想政治教育困境和路径研究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新媒体阵地建设与网络思政工作创新研究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高校廉政风险和干预机制研究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高校党支部标准化规范化建设研究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增强党的组织生活活力研究</w:t>
      </w:r>
    </w:p>
    <w:p>
      <w:pPr>
        <w:numPr>
          <w:ilvl w:val="0"/>
          <w:numId w:val="1"/>
        </w:numPr>
        <w:spacing w:line="360" w:lineRule="auto"/>
        <w:rPr>
          <w:rFonts w:eastAsia="黑体" w:asciiTheme="majorHAnsi" w:hAnsiTheme="majorHAnsi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基层党组织围绕学校中心工作抓党建工作方法路径研究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基层党支部发挥主体作用研究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高校二级党组织中心组学习的有效性研究</w:t>
      </w:r>
    </w:p>
    <w:p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加强教师队伍思想政治工作研究</w:t>
      </w:r>
    </w:p>
    <w:p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“课程思政”的推进机制与成效评价研究</w:t>
      </w:r>
    </w:p>
    <w:p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学生就业引导机制建设实效与对策研究</w:t>
      </w:r>
    </w:p>
    <w:p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ascii="仿宋" w:hAnsi="仿宋" w:cstheme="majorBidi"/>
          <w:sz w:val="28"/>
          <w:szCs w:val="32"/>
        </w:rPr>
        <w:t>高校工会在高等教育改革和发展中的定位和作用研究</w:t>
      </w:r>
    </w:p>
    <w:p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ascii="仿宋" w:hAnsi="仿宋" w:cstheme="majorBidi"/>
          <w:sz w:val="28"/>
          <w:szCs w:val="32"/>
        </w:rPr>
        <w:t>现代大学治理中教职工参与民主管理长效机制研究</w:t>
      </w:r>
    </w:p>
    <w:p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其他相关问题研究</w:t>
      </w:r>
    </w:p>
    <w:p>
      <w:pPr>
        <w:tabs>
          <w:tab w:val="left" w:pos="312"/>
          <w:tab w:val="left" w:pos="567"/>
        </w:tabs>
        <w:spacing w:line="360" w:lineRule="auto"/>
        <w:rPr>
          <w:rFonts w:hint="eastAsia" w:ascii="仿宋" w:hAnsi="仿宋" w:cstheme="majorBidi"/>
          <w:sz w:val="28"/>
          <w:szCs w:val="32"/>
        </w:rPr>
      </w:pPr>
    </w:p>
    <w:p>
      <w:pPr>
        <w:pStyle w:val="2"/>
        <w:spacing w:before="0" w:after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综合改革</w:t>
      </w:r>
    </w:p>
    <w:p/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代表性成果在我院人才评价中的应用机制探索</w:t>
      </w:r>
      <w:bookmarkStart w:id="0" w:name="_Toc514856181"/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高校师德师风建设研究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高校行政管理队伍激励机制探索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研究生课程质量评价体系构建及其应用研究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交叉学科人才培养模式的探索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提升工程博士培养质量的路径探索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高校重大工程项目招标关键环节的风险控制研究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高校政府采购模式的创新与实践研究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“放管服”背景下的科研信用体系建设研究</w:t>
      </w:r>
    </w:p>
    <w:p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科研经费“放管服”政策研究</w:t>
      </w:r>
    </w:p>
    <w:p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高校教师教学多元化评价研究</w:t>
      </w:r>
    </w:p>
    <w:p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高校行政服务效率提升机制研究</w:t>
      </w:r>
    </w:p>
    <w:p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促进学科交叉的模式和工作机制研究</w:t>
      </w:r>
      <w:bookmarkEnd w:id="0"/>
    </w:p>
    <w:p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健全教师课程责任教授制度的经验借鉴与实践探索研究</w:t>
      </w:r>
    </w:p>
    <w:p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高校青年教师教学能力培养机制研究</w:t>
      </w:r>
    </w:p>
    <w:p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高校二级学院科研管理的信息化研究</w:t>
      </w:r>
    </w:p>
    <w:p>
      <w:pPr>
        <w:numPr>
          <w:ilvl w:val="0"/>
          <w:numId w:val="2"/>
        </w:numPr>
        <w:tabs>
          <w:tab w:val="left" w:pos="567"/>
        </w:tabs>
        <w:spacing w:line="360" w:lineRule="auto"/>
        <w:rPr>
          <w:rFonts w:ascii="仿宋" w:hAnsi="仿宋" w:cstheme="majorBidi"/>
          <w:sz w:val="28"/>
          <w:szCs w:val="32"/>
        </w:rPr>
      </w:pPr>
      <w:r>
        <w:rPr>
          <w:rFonts w:hint="eastAsia" w:ascii="仿宋" w:hAnsi="仿宋" w:cstheme="majorBidi"/>
          <w:sz w:val="28"/>
          <w:szCs w:val="32"/>
        </w:rPr>
        <w:t>其他相关问题研究</w:t>
      </w:r>
    </w:p>
    <w:p>
      <w:bookmarkStart w:id="1" w:name="_Toc5612663"/>
      <w:bookmarkStart w:id="2" w:name="_Toc8636806"/>
    </w:p>
    <w:p/>
    <w:p>
      <w:pPr>
        <w:rPr>
          <w:rFonts w:hint="eastAsia"/>
        </w:rPr>
      </w:pPr>
    </w:p>
    <w:p>
      <w:pPr>
        <w:pStyle w:val="2"/>
        <w:spacing w:before="0" w:after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实验技术</w:t>
      </w:r>
      <w:bookmarkEnd w:id="1"/>
      <w:bookmarkEnd w:id="2"/>
    </w:p>
    <w:p/>
    <w:p>
      <w:pPr>
        <w:adjustRightInd w:val="0"/>
        <w:snapToGrid w:val="0"/>
        <w:spacing w:line="360" w:lineRule="auto"/>
        <w:rPr>
          <w:rFonts w:eastAsia="黑体" w:asciiTheme="majorHAnsi" w:hAnsiTheme="majorHAnsi" w:cstheme="majorBidi"/>
          <w:sz w:val="28"/>
          <w:szCs w:val="32"/>
        </w:rPr>
      </w:pPr>
      <w:bookmarkStart w:id="3" w:name="_Toc5612664"/>
      <w:r>
        <w:rPr>
          <w:rFonts w:hint="eastAsia" w:eastAsia="黑体" w:asciiTheme="majorHAnsi" w:hAnsiTheme="majorHAnsi" w:cstheme="majorBidi"/>
          <w:sz w:val="28"/>
          <w:szCs w:val="32"/>
        </w:rPr>
        <w:t>1.实验新技术、新方法研究</w:t>
      </w:r>
      <w:bookmarkEnd w:id="3"/>
      <w:bookmarkStart w:id="4" w:name="_Toc5612665"/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cstheme="majorBidi"/>
          <w:bCs/>
          <w:sz w:val="28"/>
          <w:szCs w:val="32"/>
        </w:rPr>
      </w:pPr>
      <w:r>
        <w:rPr>
          <w:rFonts w:hint="eastAsia" w:ascii="仿宋" w:hAnsi="仿宋" w:cstheme="majorBidi"/>
          <w:bCs/>
          <w:sz w:val="28"/>
          <w:szCs w:val="32"/>
        </w:rPr>
        <w:t>研究要义：提升实验技术队伍在实验新技术、新方法上的思考力和创新力，与教学和科研前沿研究工作相适应。</w:t>
      </w:r>
    </w:p>
    <w:p>
      <w:pPr>
        <w:adjustRightInd w:val="0"/>
        <w:snapToGrid w:val="0"/>
        <w:spacing w:line="360" w:lineRule="auto"/>
        <w:rPr>
          <w:rFonts w:eastAsia="黑体" w:asciiTheme="majorHAnsi" w:hAnsiTheme="majorHAnsi" w:cstheme="majorBidi"/>
          <w:sz w:val="28"/>
          <w:szCs w:val="32"/>
        </w:rPr>
      </w:pPr>
      <w:r>
        <w:rPr>
          <w:rFonts w:hint="eastAsia" w:eastAsia="黑体" w:asciiTheme="majorHAnsi" w:hAnsiTheme="majorHAnsi" w:cstheme="majorBidi"/>
          <w:sz w:val="28"/>
          <w:szCs w:val="32"/>
        </w:rPr>
        <w:t>2.实验仪器设备的自制、改造与功能开发研究</w:t>
      </w:r>
      <w:bookmarkEnd w:id="4"/>
      <w:bookmarkStart w:id="5" w:name="_Toc5612666"/>
    </w:p>
    <w:p>
      <w:pPr>
        <w:adjustRightInd w:val="0"/>
        <w:snapToGrid w:val="0"/>
        <w:spacing w:line="360" w:lineRule="auto"/>
        <w:rPr>
          <w:rFonts w:ascii="仿宋" w:hAnsi="仿宋" w:cstheme="majorBidi"/>
          <w:b/>
          <w:bCs/>
          <w:sz w:val="28"/>
          <w:szCs w:val="32"/>
        </w:rPr>
      </w:pPr>
      <w:r>
        <w:rPr>
          <w:rFonts w:hint="eastAsia" w:ascii="仿宋" w:hAnsi="仿宋" w:cstheme="majorBidi"/>
          <w:b/>
          <w:bCs/>
          <w:sz w:val="28"/>
          <w:szCs w:val="32"/>
        </w:rPr>
        <w:t xml:space="preserve"> </w:t>
      </w:r>
      <w:r>
        <w:rPr>
          <w:rFonts w:ascii="仿宋" w:hAnsi="仿宋" w:cstheme="majorBidi"/>
          <w:b/>
          <w:bCs/>
          <w:sz w:val="28"/>
          <w:szCs w:val="32"/>
        </w:rPr>
        <w:t xml:space="preserve">   </w:t>
      </w:r>
      <w:r>
        <w:rPr>
          <w:rFonts w:hint="eastAsia" w:ascii="仿宋" w:hAnsi="仿宋" w:cstheme="majorBidi"/>
          <w:bCs/>
          <w:sz w:val="28"/>
          <w:szCs w:val="32"/>
        </w:rPr>
        <w:t>研究要义：充分发挥自制仪器设备在实验教学中的作用，鼓励实验技术队伍运用自制仪器设备突破实验教学中的重点、难点问题。</w:t>
      </w:r>
    </w:p>
    <w:p>
      <w:pPr>
        <w:adjustRightInd w:val="0"/>
        <w:snapToGrid w:val="0"/>
        <w:spacing w:line="360" w:lineRule="auto"/>
        <w:rPr>
          <w:rFonts w:eastAsia="黑体" w:asciiTheme="majorHAnsi" w:hAnsiTheme="majorHAnsi" w:cstheme="majorBidi"/>
          <w:sz w:val="28"/>
          <w:szCs w:val="32"/>
        </w:rPr>
      </w:pPr>
      <w:r>
        <w:rPr>
          <w:rFonts w:hint="eastAsia" w:eastAsia="黑体" w:asciiTheme="majorHAnsi" w:hAnsiTheme="majorHAnsi" w:cstheme="majorBidi"/>
          <w:sz w:val="28"/>
          <w:szCs w:val="32"/>
        </w:rPr>
        <w:t>3.实验标准及工艺研究</w:t>
      </w:r>
      <w:bookmarkEnd w:id="5"/>
    </w:p>
    <w:p>
      <w:pPr>
        <w:adjustRightInd w:val="0"/>
        <w:snapToGrid w:val="0"/>
        <w:spacing w:line="360" w:lineRule="auto"/>
        <w:ind w:firstLine="570"/>
        <w:rPr>
          <w:rFonts w:ascii="仿宋" w:hAnsi="仿宋" w:cstheme="majorBidi"/>
          <w:bCs/>
          <w:sz w:val="28"/>
          <w:szCs w:val="32"/>
        </w:rPr>
      </w:pPr>
      <w:r>
        <w:rPr>
          <w:rFonts w:hint="eastAsia" w:ascii="仿宋" w:hAnsi="仿宋" w:cstheme="majorBidi"/>
          <w:bCs/>
          <w:sz w:val="28"/>
          <w:szCs w:val="32"/>
        </w:rPr>
        <w:t>研究要义：对测试服务实验方法进行标准化研究，优化工艺流程，形成具有实际参考价值和可推广性的标准流程。</w:t>
      </w:r>
    </w:p>
    <w:p>
      <w:pPr>
        <w:adjustRightInd w:val="0"/>
        <w:snapToGrid w:val="0"/>
        <w:spacing w:line="360" w:lineRule="auto"/>
        <w:rPr>
          <w:rFonts w:eastAsia="黑体" w:asciiTheme="majorHAnsi" w:hAnsiTheme="majorHAnsi" w:cstheme="majorBidi"/>
          <w:sz w:val="28"/>
          <w:szCs w:val="32"/>
        </w:rPr>
      </w:pPr>
      <w:r>
        <w:rPr>
          <w:rFonts w:hint="eastAsia" w:eastAsia="黑体" w:asciiTheme="majorHAnsi" w:hAnsiTheme="majorHAnsi" w:cstheme="majorBidi"/>
          <w:sz w:val="28"/>
          <w:szCs w:val="32"/>
        </w:rPr>
        <w:t>4. 其他相关问题研究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11566"/>
    <w:multiLevelType w:val="singleLevel"/>
    <w:tmpl w:val="ACC11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9E30C3"/>
    <w:multiLevelType w:val="singleLevel"/>
    <w:tmpl w:val="549E3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79A0"/>
    <w:rsid w:val="44A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2020-10-14T04:24:00Z</dcterms:created>
  <dc:creator>于淼</dc:creator>
  <cp:lastModifiedBy>于淼</cp:lastModifiedBy>
  <dcterms:modified xsi:type="dcterms:W3CDTF">2020-10-14T04:25:19Z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